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2D59FA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154A36">
        <w:rPr>
          <w:rFonts w:ascii="Corbel" w:hAnsi="Corbel"/>
          <w:b/>
          <w:smallCaps/>
          <w:sz w:val="24"/>
          <w:szCs w:val="24"/>
        </w:rPr>
        <w:t>1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154A36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154A36">
        <w:rPr>
          <w:rFonts w:ascii="Corbel" w:hAnsi="Corbel"/>
          <w:b/>
          <w:smallCaps/>
          <w:sz w:val="24"/>
          <w:szCs w:val="24"/>
        </w:rPr>
        <w:t>5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154A36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1AE7ADB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154A36">
        <w:rPr>
          <w:rFonts w:ascii="Corbel" w:hAnsi="Corbel"/>
          <w:sz w:val="20"/>
          <w:szCs w:val="20"/>
        </w:rPr>
        <w:t>5</w:t>
      </w:r>
      <w:r w:rsidR="00804115">
        <w:rPr>
          <w:rFonts w:ascii="Corbel" w:hAnsi="Corbel"/>
          <w:sz w:val="20"/>
          <w:szCs w:val="20"/>
        </w:rPr>
        <w:t>/202</w:t>
      </w:r>
      <w:r w:rsidR="00154A36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B133AD4" w:rsidR="0085747A" w:rsidRPr="00B169DF" w:rsidRDefault="0055323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Medycyna sądowa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725DCA3" w:rsidR="0085747A" w:rsidRPr="00B169DF" w:rsidRDefault="009D7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BDB8969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5D45F90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t xml:space="preserve"> </w:t>
            </w:r>
            <w:r w:rsidRPr="00553239">
              <w:rPr>
                <w:rFonts w:ascii="Corbel" w:hAnsi="Corbel"/>
                <w:b w:val="0"/>
                <w:bCs/>
                <w:sz w:val="24"/>
                <w:szCs w:val="28"/>
              </w:rPr>
              <w:t>lek.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3239">
              <w:rPr>
                <w:rFonts w:ascii="Corbel" w:hAnsi="Corbel"/>
                <w:b w:val="0"/>
                <w:sz w:val="24"/>
                <w:szCs w:val="24"/>
              </w:rPr>
              <w:t>Maciej Kaniewski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EF9A2BE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150ECE1E" w:rsidR="0038763F" w:rsidRPr="007424D9" w:rsidRDefault="00AD676D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podstaw tanatologii sądowej, a w szczególności z sądowo-lekarską sekcją zwłok, sposobem zabezpieczania materiału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biologicznego do badań i interpretacją wyników badań.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3D5A527F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>dotyczących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 opiniowania sądowo-lekarskiego w orzecznictwie karnym i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cywilnym, a także podstawy kwalifikacji prawnej uszkodzeń ciała oraz odpowiedzialności karnej i cywilnej lekarzy. 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337ADE0D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podstawami toksykologii sądowej i alkohologii oraz interpretacją wyników tych badań, a także ze współczesnymi metodami diagnostyki w zakresie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genetyki sądowej pod kątem badań śladów biologicznych, identyfikacji osobniczej, ustalania pokrewieństwa, w tym ojcostwa.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2EFB564" w:rsidR="003A74C4" w:rsidRPr="00AD676D" w:rsidRDefault="00AD676D" w:rsidP="00AD676D">
                  <w:pPr>
                    <w:spacing w:after="0" w:line="240" w:lineRule="auto"/>
                    <w:rPr>
                      <w:rFonts w:ascii="Corbel" w:hAnsi="Corbel"/>
                    </w:rPr>
                  </w:pPr>
                  <w:r>
                    <w:t xml:space="preserve">1.Medycyna sądowa jako nauka interdyscyplinarna; - zastosowanie i przydatność praktyczna medycyny sądowej w orzecznictwie karnym, cywilnym i ubezpieczeniowym; - uwarunkowania prawne działalności biegłego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78FC2CA9" w:rsidR="003A74C4" w:rsidRPr="003A74C4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t>2.Tanatologia - nauka o śmierci: - aktualnie obowiązująca definicja śmierci; - metody stwierdzania zgonu obecnie i w przeszłości; - systematyka (rodzaje) śmierci obowiązująca w medycynie sądowej i w naukach prawnych: śmierć gwałtowna, naturalna i fizjologiczna; - rodzaje śmierci gwałtownej ze względu na towarzyszące jej okoliczności i czas trwania.</w:t>
                  </w: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4F514C5A" w:rsidR="003A74C4" w:rsidRPr="003A74C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3.Proces umierania, znamiona śmierci - definicja; rodzaje.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2F626881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4.Reakcje interletalne; ustalanie czasu śmierci.</w:t>
                  </w:r>
                </w:p>
              </w:tc>
            </w:tr>
            <w:tr w:rsidR="00AD676D" w:rsidRPr="008A0A7D" w14:paraId="7E714E72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F1839" w14:textId="62792744" w:rsidR="00AD676D" w:rsidRDefault="00AD676D" w:rsidP="003A74C4">
                  <w:pPr>
                    <w:spacing w:after="0" w:line="240" w:lineRule="auto"/>
                    <w:contextualSpacing/>
                  </w:pPr>
                  <w:r>
                    <w:t>5.Identyfikacja zwłok o nieznanej tożsamości.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1BE9FA27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6.Rodzaje śmierci gwałtownej - definicja, mechanizmy śmierci; zgony nagłe z przyczyn chorobowych budzące podejrzenie śmierci gwałtownej wskutek przestępstwa.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0C749E59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7.Dzieciobójstwo: definicja i rodzaje.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4D7A0B38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8.Badania toksykologiczne w medycynie sądowej, interpretacja wyników badań.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1B809541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9.Alkohologia - interpretacja wyników analizy.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57C63A1A" w:rsidR="003A74C4" w:rsidRPr="00D0484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10.Badania genetyczne w medycynie sądowej ze szczególnym uwzględnieniem technik molekularnych w badaniu śladów biologicznych, w identyfikacji osobniczej, w ustalaniu pokrewieństwa, w tym ojcostwa; rola rachunku statystycznego w interpretacji wyników badań</w:t>
                  </w: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446CCD8" w:rsidR="0085747A" w:rsidRPr="00B169DF" w:rsidRDefault="00AD676D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23A5E5" w14:textId="00EB50D3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Stefan Raszeja, Władysław Nasiłowski, Jan Markiewicz: Medycyna sądowa - podręcznik dla studentów, PZWL Warszawa, 1990.</w:t>
            </w:r>
          </w:p>
          <w:p w14:paraId="02A01272" w14:textId="30C4C230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DiMaio WJ, DiMaio Dominik: Medycyna sądowa. Pod redakcją Barbary Świątek i Zygmunta Przybylskiego. Wy-dawnictwo medyczne: Urban &amp;</w:t>
            </w:r>
          </w:p>
          <w:p w14:paraId="51F04122" w14:textId="77777777" w:rsidR="00AD676D" w:rsidRPr="00AD676D" w:rsidRDefault="00AD676D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Partner, Wrocław, 2003 r.</w:t>
            </w:r>
          </w:p>
          <w:p w14:paraId="0B544F6A" w14:textId="32B81B21" w:rsidR="008252BB" w:rsidRPr="001362CD" w:rsidRDefault="008252BB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F58C24" w14:textId="77777777" w:rsidR="00AD676D" w:rsidRPr="00AD676D" w:rsidRDefault="00AD676D" w:rsidP="00AD676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R. Pawłowski: Medyczno-sądowe badania śladów biologicznych, Biblioteka Prawa Dowodowego.</w:t>
            </w:r>
          </w:p>
          <w:p w14:paraId="6FB76EEF" w14:textId="51D7D880" w:rsidR="00AD676D" w:rsidRPr="00856687" w:rsidRDefault="00AD676D" w:rsidP="00AD676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AD676D">
              <w:rPr>
                <w:rFonts w:ascii="Corbel" w:eastAsia="Cambria" w:hAnsi="Corbel"/>
              </w:rPr>
              <w:t>Z. Szczerkowska: Badania biologiczne w sądowym ustalaniu ojcostwa, Biblioteka Prawa Dowodowego</w:t>
            </w: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4596EFF9" w14:textId="0DA1A647" w:rsidR="008975A0" w:rsidRPr="00856687" w:rsidRDefault="008975A0" w:rsidP="00AD676D">
            <w:pPr>
              <w:pStyle w:val="Akapitzlist"/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83541" w14:textId="77777777" w:rsidR="00C1383D" w:rsidRDefault="00C1383D" w:rsidP="00C16ABF">
      <w:pPr>
        <w:spacing w:after="0" w:line="240" w:lineRule="auto"/>
      </w:pPr>
      <w:r>
        <w:separator/>
      </w:r>
    </w:p>
  </w:endnote>
  <w:endnote w:type="continuationSeparator" w:id="0">
    <w:p w14:paraId="51C59B77" w14:textId="77777777" w:rsidR="00C1383D" w:rsidRDefault="00C138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AFFB" w14:textId="77777777" w:rsidR="00C1383D" w:rsidRDefault="00C1383D" w:rsidP="00C16ABF">
      <w:pPr>
        <w:spacing w:after="0" w:line="240" w:lineRule="auto"/>
      </w:pPr>
      <w:r>
        <w:separator/>
      </w:r>
    </w:p>
  </w:footnote>
  <w:footnote w:type="continuationSeparator" w:id="0">
    <w:p w14:paraId="3CD8E0A2" w14:textId="77777777" w:rsidR="00C1383D" w:rsidRDefault="00C1383D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283B69"/>
    <w:multiLevelType w:val="hybridMultilevel"/>
    <w:tmpl w:val="C7DA76E6"/>
    <w:lvl w:ilvl="0" w:tplc="E1528C6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3"/>
  </w:num>
  <w:num w:numId="3" w16cid:durableId="656036468">
    <w:abstractNumId w:val="4"/>
  </w:num>
  <w:num w:numId="4" w16cid:durableId="2064328474">
    <w:abstractNumId w:val="0"/>
  </w:num>
  <w:num w:numId="5" w16cid:durableId="4893683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54A36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53239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76D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38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2023-10-18T12:16:00Z</dcterms:created>
  <dcterms:modified xsi:type="dcterms:W3CDTF">2023-10-30T10:49:00Z</dcterms:modified>
</cp:coreProperties>
</file>